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177</w:t>
      </w:r>
    </w:p>
    <w:p>
      <w:r>
        <w:t>Bundesgericht (BGE), 1994-07-18, DE</w:t>
      </w:r>
    </w:p>
    <w:p>
      <w:r>
        <w:rPr>
          <w:b/>
        </w:rPr>
        <w:t xml:space="preserve">Quelle: </w:t>
      </w:r>
      <w:r>
        <w:t>https://mcp.opencaselaw.ch/entscheid/bge_120 V 177</w:t>
      </w:r>
    </w:p>
    <w:p>
      <w:r>
        <w:t>FR: ATF 120 V 177</w:t>
      </w:r>
    </w:p>
    <w:p>
      <w:r>
        <w:t>IT: DTF 120 V 177</w:t>
      </w:r>
    </w:p>
    <w:p>
      <w:pPr>
        <w:pStyle w:val="Heading2"/>
      </w:pPr>
      <w:r>
        <w:t>Regeste</w:t>
      </w:r>
    </w:p>
    <w:p>
      <w:r>
        <w:t>Regeste Art. 25bis IVG, Art. 20ter Abs. 3 IVV: Besitzstandsgarantie. - Die Koordinationsregel des Art. 25bis IVG betrifft das taggeldrechtliche Verhältnis zur Unfallversicherung und geht daher den allgemeinen koordinationsrechtlichen Bestimmungen bei Zusammentreffen von mehreren Leistungen der Invalidenversicherung vor. Namentlich bleibt für eine Anwendung der IV-rechtlich internen Kürzungsregel des Art. 20ter Abs. 3 Satz 2 IVV (in Verbindung mit Art. 43 Abs. 2 Satz 2 IVG) kein Raum. - Für die Besitzstandswahrung massgebend ist entgegen Rz. 1068.1 des BSV-Kreisschreibens über die Taggelder der Invalidenversicherung (KSTG) das allenfalls gekürzte UV-Taggeld (Art. 40 UVG).</w:t>
      </w:r>
    </w:p>
    <w:p>
      <w:pPr>
        <w:pStyle w:val="Heading2"/>
      </w:pPr>
      <w:r>
        <w:t>Erwägungen</w:t>
      </w:r>
    </w:p>
    <w:p>
      <w:r>
        <w:rPr>
          <w:b/>
        </w:rPr>
        <w:t>E. 1</w:t>
      </w:r>
    </w:p>
    <w:p>
      <w:r>
        <w:t>(Kognition)</w:t>
      </w:r>
    </w:p>
    <w:p>
      <w:r>
        <w:rPr>
          <w:b/>
        </w:rPr>
        <w:t>E. 2</w:t>
      </w:r>
    </w:p>
    <w:p>
      <w:r>
        <w:t>Streitig und zu prüfen ist die Höhe des dem Beschwerdeführer zustehenden IV-Taggeldes für die berufliche Abklärungsphase vom 1. April bis 30. Juni 1992. Dabei stellt sich vorab die Frage nach der Tragweite der UV-Taggeld-Besitzstandsgarantie nach Art. 25bis IVG im Verhältnis zur Koordinationsregelung des Art. 20ter Abs. 3 IVV .</w:t>
      </w:r>
    </w:p>
    <w:p>
      <w:r>
        <w:rPr>
          <w:b/>
        </w:rPr>
        <w:t>E. 3</w:t>
      </w:r>
    </w:p>
    <w:p>
      <w:r>
        <w:t>a) Art. 25bis IVG hat folgenden Wortlaut: "Hatte ein Versicherter bis zur Eingliederung Anspruch auf ein Taggeld nach dem Bundesgesetz vom 20. März 1981 über die Unfallversicherung, so entspricht der Gesamtbetrag des Taggeldes mindestens dem bisher bezogenen Taggeld der Unfallversicherung." Diese mit dem UVG auf den 1. Januar 1984 in Kraft getretene - entgegen ihrem Wortlaut auch auf noch nach dem KUVG festgesetzte Taggelder anwendbare ( BGE 112 V 171 Erw. 3) - Bestimmung regelt die Koordination mit der Unfallversicherung im Sinne einer IV-rechtlichen Besitzstandsgarantie ( BGE 119 V 125 f. Erw. 2c). Sinn und Zweck des Art. 25bis IVG ist, ein leistungsmässiges Absinken des bisherigen Bezügers von Taggeldern der Unfallversicherung nach der Aufnahme einer von der Invalidenversicherung übernommenen Eingliederung mit dementsprechend nach Massgabe der IV-rechtlichen Regeln ermittelten Taggeldern zu verhindern ( BGE 119 V 128 Erw. 4; Botschaft zum Bundesgesetz über die Unfallversicherung vom 18. August 1976, BBl 1976 III S. 190 und 228). In Konkretisierung des Art. 25bis IVG hat das BSV in Rz. 1068.1 des Kreisschreibens über die Taggelder [KSTG], in der seit 1. Januar 1989 geltenden Fassung, festgeschrieben, dass für die Besitzstandswahrung der ungekürzte Betrag des UV-Taggeldes massgebend sei. Mit anderen Worten kommt BGE 120 V 177 S. 180 Art. 40 UVG , wonach ein UV-Taggeld bei gleichzeitigem Bezug einer IV-Rente soweit gekürzt wird, als sie den mutmasslich entgangenen Gewinn übersteigen, nicht zur Anwendung. b) Dem Bezüger einer Invalidenrente wird diese während Abklärungs- oder Eingliederungsmassnahmen weiter gewährt, und zwar längstens bis zum dritten vollen Kalendermonat, der dem Beginn der Massnahmen folgt. Zusätzlich wird ihm das Taggeld ausgerichtet. Dieses wird jedoch während der Dauer des Doppelanspruchs um einen Dreissigstel des Rentenbetrages gekürzt ( Art. 20ter Abs. 3 IVV ). Diese Verordnungsbestimmung lässt sich, wie die kantonale Rekurskommission zutreffend festhält, auf die Delegationsnorm des Art. 43 Abs. 2 IVG stützen. Im Rahmen dieser Bestimmung über das Zusammenfallen von Leistungen der Alters-, Hinterlassenen- und Invalidenversicherung wird der Bundesrat in Satz 2 befugt erklärt, Ausnahmen zu Satz 1 (Priorität u.a. des Taggeldes vor der Rente) vorzusehen und Bestimmungen über die Ablösung des Taggeldes durch eine Rente zu erlassen. Das betrifft genau den Anwendungsbereich der Verordnungsnorm des Art. 20ter Abs. 3 IVV .</w:t>
      </w:r>
    </w:p>
    <w:p>
      <w:r>
        <w:rPr>
          <w:b/>
        </w:rPr>
        <w:t>E. 4</w:t>
      </w:r>
    </w:p>
    <w:p>
      <w:r>
        <w:t>a) Ausgleichskasse und kantonale Rekurskommission haben das koordinationsrechtliche Problem der Ablösung des UV-Taggeldes durch jenes der Invalidenversicherung während der Eingliederungsphase in der Weise gelöst, dass sie gemäss Rz. 1068.1 KSTG vom ungekürzten Betrag des UV-Taggeldes (Fr. 117.--) ausgehen und dieses der IV-rechtlich internen Koordinationsregel des Art. 20ter Abs. 3 IVV , namentlich der in Satz 3 vorgesehenen Kürzung um einen Dreissigstel des Rentenbetrages (Fr. 49.20), unterwerfen. Das führt hier zu IV-Taggeldern von Fr. 67.80 ohne bzw. Fr. 61.20 mit Verpflegungskosten-Abzug (Fr. 6.60), welche Beträge das UV-Taggeld von Fr. 117.-- (ungekürzt) und von Fr. 97.-- (gekürzt) erheblich unterschreiten. Demgegenüber vertritt der Beschwerdeführer die Auffassung, er dürfe während der Eingliederungsmassnahme nicht schlechter gestellt werden, als wenn keine solchen Massnahmen durchgeführt würden. Massgebend sei daher das wegen Überversicherung gemäss Art. 40 UVG gekürzte UV-Taggeld (Fr. 97.--), welcher Betrag der IV-rechtlich internen Kürzungsregel des Art. 20ter Abs. 3 Satz 2 IVV nicht unterliege, weil sonst die Besitzstandsgarantie gemäss Art. 25bis IVG unterlaufen werde. b) Mit dem klaren Wortlaut sowie Sinn und Zweck des Art. 25bis IVG , ein leistungsmässiges Absinken zu verhindern, wenn sich ein UV-Taggeldbezüger BGE 120 V 177 S. 181 in eine IV-Abklärung oder Eingliederung begibt (Erw. 3a), ist unvereinbar, wenn an dem formellgesetzlich garantierten Taggeld Abzüge vorgenommen werden, welche sich aufgrund IV-rechtlich interner Koordinationsnormen ergeben. Art. 25bis IVG ist eine nachträglich ins Gesetz eingefügte Koordinationsregel, welche das taggeldrechtliche Verhältnis zur Unfallversicherung betrifft und damit den allgemeinen koordinationsrechtlichen Bestimmungen bei Zusammentreffen von mehreren Leistungen der Invalidenversicherung vorgeht. Durch die Anwendung von Art. 40 UVG ist sichergestellt, dass der laufende IV-Rentenbezug bei der Festsetzung des UV-Taggeldes berücksichtigt wird. Wenn aber das koordinationsrechtliche Problem, herrührend aus dem Weiterlaufen der IV-Rente, schon im Rahmen der dem UV-Taggeld zugrunde liegenden Überversicherungsrechnung berücksichtigt wird, besteht kein Raum, diesen Schritt rückgängig zu machen und auf das gemäss Rz. 1068.1 KSTG ungekürzte UV-Taggeld die IV-rechtlich interne Kürzungsregelung nach Art. 20ter Abs. 3 IVV anzuwenden. Damit wird zwar im Ergebnis auch die Koordination IV-Taggeld/IV-Rente erreicht, indessen in bezug auf das davon zu unterscheidende, hier massgebende koordinationsrechtliche Problem UV-Taggeld/IV-Taggeld in einer Weise, welche die Besitzstandsnorm des Art. 25bis IVG nach Wortlaut und Rechtssinn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